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8C09" w14:textId="3B24D9EF" w:rsidR="001D734A" w:rsidRPr="0089596D" w:rsidRDefault="00000000" w:rsidP="0051316D">
      <w:pPr>
        <w:kinsoku w:val="0"/>
        <w:autoSpaceDE w:val="0"/>
        <w:autoSpaceDN w:val="0"/>
        <w:adjustRightInd w:val="0"/>
        <w:spacing w:line="560" w:lineRule="exact"/>
        <w:jc w:val="center"/>
        <w:textAlignment w:val="baseline"/>
        <w:rPr>
          <w:rFonts w:ascii="宋体" w:eastAsia="宋体" w:hAnsi="宋体" w:cs="方正小标宋简体" w:hint="eastAsia"/>
          <w:b/>
          <w:bCs/>
          <w:spacing w:val="1"/>
          <w:sz w:val="44"/>
          <w:szCs w:val="44"/>
        </w:rPr>
      </w:pPr>
      <w:r w:rsidRPr="0089596D">
        <w:rPr>
          <w:rFonts w:ascii="宋体" w:eastAsia="宋体" w:hAnsi="宋体" w:cs="方正小标宋简体" w:hint="eastAsia"/>
          <w:b/>
          <w:bCs/>
          <w:spacing w:val="1"/>
          <w:sz w:val="44"/>
          <w:szCs w:val="44"/>
        </w:rPr>
        <w:t>化学与生命资源学院</w:t>
      </w:r>
      <w:r w:rsidR="0089596D" w:rsidRPr="0089596D">
        <w:rPr>
          <w:rFonts w:ascii="宋体" w:eastAsia="宋体" w:hAnsi="宋体" w:cs="宋体" w:hint="eastAsia"/>
          <w:b/>
          <w:bCs/>
          <w:spacing w:val="1"/>
          <w:sz w:val="44"/>
          <w:szCs w:val="44"/>
        </w:rPr>
        <w:t>研究</w:t>
      </w:r>
      <w:r w:rsidRPr="0089596D">
        <w:rPr>
          <w:rFonts w:ascii="宋体" w:eastAsia="宋体" w:hAnsi="宋体" w:cs="方正小标宋简体" w:hint="eastAsia"/>
          <w:b/>
          <w:bCs/>
          <w:spacing w:val="1"/>
          <w:sz w:val="44"/>
          <w:szCs w:val="44"/>
        </w:rPr>
        <w:t>生综合类奖学金</w:t>
      </w:r>
    </w:p>
    <w:p w14:paraId="35EFFC27" w14:textId="6CE4575D" w:rsidR="001D734A" w:rsidRPr="0089596D" w:rsidRDefault="00000000" w:rsidP="0051316D">
      <w:pPr>
        <w:kinsoku w:val="0"/>
        <w:autoSpaceDE w:val="0"/>
        <w:autoSpaceDN w:val="0"/>
        <w:adjustRightInd w:val="0"/>
        <w:spacing w:line="560" w:lineRule="exact"/>
        <w:jc w:val="center"/>
        <w:textAlignment w:val="baseline"/>
        <w:rPr>
          <w:rFonts w:ascii="宋体" w:eastAsia="宋体" w:hAnsi="宋体" w:cs="方正小标宋简体" w:hint="eastAsia"/>
          <w:b/>
          <w:bCs/>
          <w:spacing w:val="1"/>
          <w:sz w:val="44"/>
          <w:szCs w:val="44"/>
        </w:rPr>
      </w:pPr>
      <w:r w:rsidRPr="0089596D">
        <w:rPr>
          <w:rFonts w:ascii="宋体" w:eastAsia="宋体" w:hAnsi="宋体" w:cs="方正小标宋简体" w:hint="eastAsia"/>
          <w:b/>
          <w:bCs/>
          <w:spacing w:val="1"/>
          <w:sz w:val="44"/>
          <w:szCs w:val="44"/>
        </w:rPr>
        <w:t>评审细则</w:t>
      </w:r>
    </w:p>
    <w:p w14:paraId="52A93790" w14:textId="77777777" w:rsidR="001D734A" w:rsidRPr="0051316D" w:rsidRDefault="001D734A"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p>
    <w:p w14:paraId="43F01034"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黑体" w:eastAsia="黑体" w:hAnsi="黑体" w:cs="仿宋" w:hint="eastAsia"/>
          <w:spacing w:val="1"/>
          <w:sz w:val="32"/>
          <w:szCs w:val="32"/>
        </w:rPr>
      </w:pPr>
      <w:r w:rsidRPr="00813E3C">
        <w:rPr>
          <w:rFonts w:ascii="黑体" w:eastAsia="黑体" w:hAnsi="黑体" w:cs="仿宋" w:hint="eastAsia"/>
          <w:spacing w:val="1"/>
          <w:sz w:val="32"/>
          <w:szCs w:val="32"/>
        </w:rPr>
        <w:t>一、评选要求</w:t>
      </w:r>
    </w:p>
    <w:p w14:paraId="6BAA62BF" w14:textId="40879076"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1.参评对象：具有我校学籍的化学与生命资源学院二年级及以上全日制非定向研究生。根据上级文件要求，港澳台学生、国际学生、来校交流交换学生不在此类参评范围内。延期毕业学生原则上不在参评范围内，但因公派出国、挂职锻炼、参军入伍、西部支教等原因延期的学生，在延长学习期内有正常参评机会。</w:t>
      </w:r>
    </w:p>
    <w:p w14:paraId="029B1AA6"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2.评选条件：</w:t>
      </w:r>
    </w:p>
    <w:p w14:paraId="1359FD18" w14:textId="340221A6"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（1）热爱祖国，拥护中国共产党的领导。</w:t>
      </w:r>
    </w:p>
    <w:p w14:paraId="7E4F2A54" w14:textId="16F06930"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（2）遵守宪法和法律，遵守学校规章制度。上一学年应未受过违纪处分和校级通报批评处理。</w:t>
      </w:r>
    </w:p>
    <w:p w14:paraId="3E17DA97"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（3）诚实守信，道德品质优良。</w:t>
      </w:r>
    </w:p>
    <w:p w14:paraId="3429B949"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（4）德智体美劳全面发展，博士研究生和学术型硕士研究生原则上应重点考虑上一学年学术研究、成果转化等方面的情况。</w:t>
      </w:r>
    </w:p>
    <w:p w14:paraId="3FB5E49C"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（5）积极参与科学研究与实践，创新能力强，科研达到以下1-3条之一：</w:t>
      </w:r>
    </w:p>
    <w:p w14:paraId="42B34D24" w14:textId="2000105C"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Calibri" w:eastAsia="仿宋" w:hAnsi="Calibri" w:cs="Calibri"/>
          <w:spacing w:val="1"/>
          <w:sz w:val="32"/>
          <w:szCs w:val="32"/>
        </w:rPr>
        <w:t>①</w:t>
      </w:r>
      <w:r w:rsidRPr="00813E3C">
        <w:rPr>
          <w:rFonts w:ascii="仿宋" w:eastAsia="仿宋" w:hAnsi="仿宋" w:cs="仿宋" w:hint="eastAsia"/>
          <w:spacing w:val="1"/>
          <w:sz w:val="32"/>
          <w:szCs w:val="32"/>
        </w:rPr>
        <w:t>发表学术论文：硕士研究生以第一作者身份发表A类以上论文一篇；博士研究生以第一作者身份发表A级论文两篇以上或者A+论文一篇。</w:t>
      </w:r>
    </w:p>
    <w:p w14:paraId="73A34002"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Calibri" w:eastAsia="仿宋" w:hAnsi="Calibri" w:cs="Calibri"/>
          <w:spacing w:val="1"/>
          <w:sz w:val="32"/>
          <w:szCs w:val="32"/>
        </w:rPr>
        <w:t>②</w:t>
      </w:r>
      <w:r w:rsidRPr="00813E3C">
        <w:rPr>
          <w:rFonts w:ascii="仿宋" w:eastAsia="仿宋" w:hAnsi="仿宋" w:cs="仿宋" w:hint="eastAsia"/>
          <w:spacing w:val="1"/>
          <w:sz w:val="32"/>
          <w:szCs w:val="32"/>
        </w:rPr>
        <w:t>专利授权：授权国家发明专利1项。</w:t>
      </w:r>
    </w:p>
    <w:p w14:paraId="58DB7613"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Calibri" w:eastAsia="仿宋" w:hAnsi="Calibri" w:cs="Calibri"/>
          <w:spacing w:val="1"/>
          <w:sz w:val="32"/>
          <w:szCs w:val="32"/>
        </w:rPr>
        <w:lastRenderedPageBreak/>
        <w:t>③</w:t>
      </w:r>
      <w:r w:rsidRPr="00813E3C">
        <w:rPr>
          <w:rFonts w:ascii="仿宋" w:eastAsia="仿宋" w:hAnsi="仿宋" w:cs="仿宋" w:hint="eastAsia"/>
          <w:spacing w:val="1"/>
          <w:sz w:val="32"/>
          <w:szCs w:val="32"/>
        </w:rPr>
        <w:t>竞赛类获奖：在省级及以上各类研究生创新创业竞赛、学科技能竞赛比赛中获得三等及以上奖励1项，或在校级各类研究生创新创业竞赛、学科技能竞赛比赛中获得一等及以上奖励1项。</w:t>
      </w:r>
    </w:p>
    <w:p w14:paraId="764D9FB9" w14:textId="77777777" w:rsidR="001D734A" w:rsidRPr="00813E3C" w:rsidRDefault="00000000" w:rsidP="0051316D">
      <w:pPr>
        <w:numPr>
          <w:ilvl w:val="0"/>
          <w:numId w:val="1"/>
        </w:num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参评的学术成果原则上应主要为上一年度9月11日至当年9月10日期间正式发表或出版的成果。</w:t>
      </w:r>
    </w:p>
    <w:p w14:paraId="1AF580D5" w14:textId="77777777" w:rsidR="001D734A" w:rsidRPr="00813E3C" w:rsidRDefault="00000000" w:rsidP="0051316D">
      <w:pPr>
        <w:numPr>
          <w:ilvl w:val="0"/>
          <w:numId w:val="2"/>
        </w:numPr>
        <w:kinsoku w:val="0"/>
        <w:autoSpaceDE w:val="0"/>
        <w:autoSpaceDN w:val="0"/>
        <w:adjustRightInd w:val="0"/>
        <w:spacing w:line="560" w:lineRule="exact"/>
        <w:ind w:firstLineChars="200" w:firstLine="644"/>
        <w:jc w:val="both"/>
        <w:textAlignment w:val="baseline"/>
        <w:rPr>
          <w:rFonts w:ascii="黑体" w:eastAsia="黑体" w:hAnsi="黑体" w:cs="仿宋" w:hint="eastAsia"/>
          <w:spacing w:val="1"/>
          <w:sz w:val="32"/>
          <w:szCs w:val="32"/>
        </w:rPr>
      </w:pPr>
      <w:r w:rsidRPr="00813E3C">
        <w:rPr>
          <w:rFonts w:ascii="黑体" w:eastAsia="黑体" w:hAnsi="黑体" w:cs="仿宋" w:hint="eastAsia"/>
          <w:spacing w:val="1"/>
          <w:sz w:val="32"/>
          <w:szCs w:val="32"/>
        </w:rPr>
        <w:t>名额分配</w:t>
      </w:r>
    </w:p>
    <w:p w14:paraId="3BD90165" w14:textId="4D247998"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2025年研究生综合类奖学金名额如下：研究生国家奖学金（硕士）4人，研究生国家奖学金（博士）4人，京东·求是未来学者1人，比亚迪奖学金（硕士）1人，比亚迪奖学金（博士）1人。</w:t>
      </w:r>
    </w:p>
    <w:p w14:paraId="0F17629A"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符合国家奖学金参评条件的报名人选，经材料审核、现场答辩后由评审工作组进行综合排序，根据排名顺序依次确定获得国家奖学金、京东·求是未来学者、比亚迪奖学金的推荐人选。</w:t>
      </w:r>
    </w:p>
    <w:p w14:paraId="00034D6E" w14:textId="0699923B"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黑体" w:eastAsia="黑体" w:hAnsi="黑体" w:cs="仿宋" w:hint="eastAsia"/>
          <w:spacing w:val="1"/>
          <w:sz w:val="32"/>
          <w:szCs w:val="32"/>
        </w:rPr>
      </w:pPr>
      <w:r w:rsidRPr="00813E3C">
        <w:rPr>
          <w:rFonts w:ascii="黑体" w:eastAsia="黑体" w:hAnsi="黑体" w:cs="仿宋" w:hint="eastAsia"/>
          <w:spacing w:val="1"/>
          <w:sz w:val="32"/>
          <w:szCs w:val="32"/>
        </w:rPr>
        <w:t>三、评审工作组组成</w:t>
      </w:r>
    </w:p>
    <w:p w14:paraId="19BE23CB" w14:textId="0223A918"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化学与生命资源学院研究生奖学金评审工作组负责奖学金的评选工作。评审</w:t>
      </w:r>
      <w:r w:rsidR="00AE780B" w:rsidRPr="00813E3C">
        <w:rPr>
          <w:rFonts w:ascii="仿宋" w:eastAsia="仿宋" w:hAnsi="仿宋" w:cs="仿宋" w:hint="eastAsia"/>
          <w:spacing w:val="1"/>
          <w:sz w:val="32"/>
          <w:szCs w:val="32"/>
        </w:rPr>
        <w:t>工作</w:t>
      </w:r>
      <w:r w:rsidRPr="00813E3C">
        <w:rPr>
          <w:rFonts w:ascii="仿宋" w:eastAsia="仿宋" w:hAnsi="仿宋" w:cs="仿宋" w:hint="eastAsia"/>
          <w:spacing w:val="1"/>
          <w:sz w:val="32"/>
          <w:szCs w:val="32"/>
        </w:rPr>
        <w:t>组由学院主管研究生工作的院领导和主管学生工作的院领导共同担任组长，邀请学术委员会成员、教师代表、院外专家、教务秘书、班主任代表和辅导员代表参加，同时邀请学生代表列席评审会议，一般不少于10人</w:t>
      </w:r>
      <w:r w:rsidRPr="00813E3C">
        <w:rPr>
          <w:rFonts w:ascii="仿宋" w:eastAsia="仿宋" w:hAnsi="仿宋" w:cs="仿宋"/>
          <w:spacing w:val="1"/>
          <w:sz w:val="32"/>
          <w:szCs w:val="32"/>
        </w:rPr>
        <w:t>。</w:t>
      </w:r>
    </w:p>
    <w:p w14:paraId="2E6FEA61" w14:textId="77777777"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黑体" w:eastAsia="黑体" w:hAnsi="黑体" w:cs="仿宋" w:hint="eastAsia"/>
          <w:spacing w:val="1"/>
          <w:sz w:val="32"/>
          <w:szCs w:val="32"/>
        </w:rPr>
      </w:pPr>
      <w:r w:rsidRPr="00813E3C">
        <w:rPr>
          <w:rFonts w:ascii="黑体" w:eastAsia="黑体" w:hAnsi="黑体" w:cs="仿宋" w:hint="eastAsia"/>
          <w:spacing w:val="1"/>
          <w:sz w:val="32"/>
          <w:szCs w:val="32"/>
        </w:rPr>
        <w:t>四、评选程序</w:t>
      </w:r>
    </w:p>
    <w:p w14:paraId="167F656B" w14:textId="7157DC01"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1.自主申报：根据参评条件，学生自主申报研究生综合</w:t>
      </w:r>
      <w:r w:rsidRPr="00813E3C">
        <w:rPr>
          <w:rFonts w:ascii="仿宋" w:eastAsia="仿宋" w:hAnsi="仿宋" w:cs="仿宋" w:hint="eastAsia"/>
          <w:spacing w:val="1"/>
          <w:sz w:val="32"/>
          <w:szCs w:val="32"/>
        </w:rPr>
        <w:lastRenderedPageBreak/>
        <w:t>类奖学金，提交相关材料。</w:t>
      </w:r>
    </w:p>
    <w:p w14:paraId="0D7A8D60" w14:textId="529FFE7C" w:rsidR="00582FF3"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2.材料要求：</w:t>
      </w:r>
      <w:r w:rsidR="00582FF3" w:rsidRPr="00813E3C">
        <w:rPr>
          <w:rFonts w:ascii="仿宋" w:eastAsia="仿宋" w:hAnsi="仿宋" w:cs="仿宋" w:hint="eastAsia"/>
          <w:spacing w:val="1"/>
          <w:sz w:val="32"/>
          <w:szCs w:val="32"/>
        </w:rPr>
        <w:t>提交纸质版材料和电子版材料，包括</w:t>
      </w:r>
      <w:r w:rsidR="00582FF3" w:rsidRPr="00813E3C">
        <w:rPr>
          <w:rFonts w:ascii="仿宋" w:eastAsia="仿宋" w:hAnsi="仿宋" w:cs="仿宋" w:hint="eastAsia"/>
          <w:b/>
          <w:bCs/>
          <w:spacing w:val="1"/>
          <w:sz w:val="32"/>
          <w:szCs w:val="32"/>
        </w:rPr>
        <w:t>综合类奖学金申请表信息一览表、上一学年的课程学习成绩单、科研论文或专利证明复印件、参加学术会议的证明</w:t>
      </w:r>
      <w:r w:rsidR="00582FF3" w:rsidRPr="00813E3C">
        <w:rPr>
          <w:rFonts w:ascii="仿宋" w:eastAsia="仿宋" w:hAnsi="仿宋" w:cs="仿宋" w:hint="eastAsia"/>
          <w:spacing w:val="1"/>
          <w:sz w:val="32"/>
          <w:szCs w:val="32"/>
        </w:rPr>
        <w:t>、</w:t>
      </w:r>
      <w:r w:rsidR="00582FF3" w:rsidRPr="00813E3C">
        <w:rPr>
          <w:rFonts w:ascii="仿宋" w:eastAsia="仿宋" w:hAnsi="仿宋" w:cs="仿宋" w:hint="eastAsia"/>
          <w:b/>
          <w:bCs/>
          <w:spacing w:val="1"/>
          <w:sz w:val="32"/>
          <w:szCs w:val="32"/>
        </w:rPr>
        <w:t>上一学年取得的各类奖励证明、志愿服务证明等</w:t>
      </w:r>
      <w:r w:rsidRPr="00813E3C">
        <w:rPr>
          <w:rFonts w:ascii="仿宋" w:eastAsia="仿宋" w:hAnsi="仿宋" w:cs="仿宋" w:hint="eastAsia"/>
          <w:spacing w:val="1"/>
          <w:sz w:val="32"/>
          <w:szCs w:val="32"/>
        </w:rPr>
        <w:t>。</w:t>
      </w:r>
    </w:p>
    <w:p w14:paraId="3062715B" w14:textId="3B0A1954" w:rsidR="001D734A" w:rsidRPr="00813E3C" w:rsidRDefault="00000000" w:rsidP="0051316D">
      <w:pPr>
        <w:kinsoku w:val="0"/>
        <w:autoSpaceDE w:val="0"/>
        <w:autoSpaceDN w:val="0"/>
        <w:adjustRightInd w:val="0"/>
        <w:spacing w:line="560" w:lineRule="exact"/>
        <w:ind w:firstLineChars="200" w:firstLine="647"/>
        <w:jc w:val="both"/>
        <w:textAlignment w:val="baseline"/>
        <w:rPr>
          <w:rFonts w:ascii="仿宋" w:eastAsia="仿宋" w:hAnsi="仿宋" w:cs="仿宋" w:hint="eastAsia"/>
          <w:spacing w:val="1"/>
          <w:sz w:val="32"/>
          <w:szCs w:val="32"/>
        </w:rPr>
      </w:pPr>
      <w:r w:rsidRPr="00813E3C">
        <w:rPr>
          <w:rFonts w:ascii="仿宋" w:eastAsia="仿宋" w:hAnsi="仿宋" w:cs="仿宋" w:hint="eastAsia"/>
          <w:b/>
          <w:bCs/>
          <w:spacing w:val="1"/>
          <w:sz w:val="32"/>
          <w:szCs w:val="32"/>
        </w:rPr>
        <w:t>特别注意：请参评学生拟定一份奖学金使用规划，包括但不限于开展科研实验、课题调研、参加学术会议等，列明支出预算和预期成果</w:t>
      </w:r>
      <w:r w:rsidRPr="00813E3C">
        <w:rPr>
          <w:rFonts w:ascii="仿宋" w:eastAsia="仿宋" w:hAnsi="仿宋" w:cs="仿宋" w:hint="eastAsia"/>
          <w:spacing w:val="1"/>
          <w:sz w:val="32"/>
          <w:szCs w:val="32"/>
        </w:rPr>
        <w:t>。</w:t>
      </w:r>
    </w:p>
    <w:p w14:paraId="4BA38A16" w14:textId="5EF2B915"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3.学院初审：学院评审工作组根据参评学生的资格、材料审核结果，确定入围评审答辩会的学生名单。</w:t>
      </w:r>
    </w:p>
    <w:p w14:paraId="5BF53DE7" w14:textId="20B332E6"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z w:val="32"/>
          <w:szCs w:val="32"/>
        </w:rPr>
      </w:pPr>
      <w:r w:rsidRPr="00813E3C">
        <w:rPr>
          <w:rFonts w:ascii="仿宋" w:eastAsia="仿宋" w:hAnsi="仿宋" w:cs="仿宋" w:hint="eastAsia"/>
          <w:spacing w:val="1"/>
          <w:sz w:val="32"/>
          <w:szCs w:val="32"/>
        </w:rPr>
        <w:t>4.复审答辩：申请人现场进行答辩，</w:t>
      </w:r>
      <w:r w:rsidRPr="00813E3C">
        <w:rPr>
          <w:rFonts w:ascii="仿宋" w:eastAsia="仿宋" w:hAnsi="仿宋" w:cs="仿宋" w:hint="eastAsia"/>
          <w:b/>
          <w:bCs/>
          <w:sz w:val="32"/>
          <w:szCs w:val="32"/>
        </w:rPr>
        <w:t>答辩内容需展现申请人在“德智体美劳”五个方面取得的成绩，具体包括但不限于：公共服务与党团建设，学习成绩与科研成果，组织或参与文体活动情况、实习实践情况、参与美育和劳动教育等方面的情况。</w:t>
      </w:r>
      <w:r w:rsidRPr="00813E3C">
        <w:rPr>
          <w:rFonts w:ascii="仿宋" w:eastAsia="仿宋" w:hAnsi="仿宋" w:cs="仿宋" w:hint="eastAsia"/>
          <w:sz w:val="32"/>
          <w:szCs w:val="32"/>
        </w:rPr>
        <w:t>学院评审工作组基于申请人的书面材料和答辩表现，对申请人进行综合排序。</w:t>
      </w:r>
    </w:p>
    <w:p w14:paraId="6A54A939" w14:textId="3A5AE559" w:rsidR="001D734A" w:rsidRPr="00813E3C" w:rsidRDefault="00000000"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r w:rsidRPr="00813E3C">
        <w:rPr>
          <w:rFonts w:ascii="仿宋" w:eastAsia="仿宋" w:hAnsi="仿宋" w:cs="仿宋" w:hint="eastAsia"/>
          <w:spacing w:val="1"/>
          <w:sz w:val="32"/>
          <w:szCs w:val="32"/>
        </w:rPr>
        <w:t>5.公示推荐：学院评审工作组集体讨论和评议后确定</w:t>
      </w:r>
      <w:r w:rsidR="0089596D">
        <w:rPr>
          <w:rFonts w:ascii="仿宋" w:eastAsia="仿宋" w:hAnsi="仿宋" w:cs="仿宋" w:hint="eastAsia"/>
          <w:spacing w:val="1"/>
          <w:sz w:val="32"/>
          <w:szCs w:val="32"/>
        </w:rPr>
        <w:t>研究生</w:t>
      </w:r>
      <w:r w:rsidRPr="00813E3C">
        <w:rPr>
          <w:rFonts w:ascii="仿宋" w:eastAsia="仿宋" w:hAnsi="仿宋" w:cs="仿宋" w:hint="eastAsia"/>
          <w:spacing w:val="1"/>
          <w:sz w:val="32"/>
          <w:szCs w:val="32"/>
        </w:rPr>
        <w:t>综合类奖学金推荐名单，名单经党政联席会通过后，在学院网站、公告栏等进行公示，公示期不少于3个工作日。公示期结束无异议后上报学校。</w:t>
      </w:r>
    </w:p>
    <w:p w14:paraId="4CECD589" w14:textId="77777777" w:rsidR="001D734A" w:rsidRPr="0051316D" w:rsidRDefault="001D734A" w:rsidP="0051316D">
      <w:pPr>
        <w:kinsoku w:val="0"/>
        <w:autoSpaceDE w:val="0"/>
        <w:autoSpaceDN w:val="0"/>
        <w:adjustRightInd w:val="0"/>
        <w:spacing w:line="560" w:lineRule="exact"/>
        <w:ind w:firstLineChars="200" w:firstLine="644"/>
        <w:jc w:val="both"/>
        <w:textAlignment w:val="baseline"/>
        <w:rPr>
          <w:rFonts w:ascii="仿宋" w:eastAsia="仿宋" w:hAnsi="仿宋" w:cs="仿宋" w:hint="eastAsia"/>
          <w:spacing w:val="1"/>
          <w:sz w:val="32"/>
          <w:szCs w:val="32"/>
        </w:rPr>
      </w:pPr>
    </w:p>
    <w:p w14:paraId="1401564E" w14:textId="77777777" w:rsidR="001D734A" w:rsidRPr="0051316D" w:rsidRDefault="001D734A" w:rsidP="0051316D">
      <w:pPr>
        <w:spacing w:line="560" w:lineRule="exact"/>
        <w:ind w:firstLineChars="200" w:firstLine="640"/>
        <w:jc w:val="both"/>
        <w:rPr>
          <w:rFonts w:ascii="仿宋" w:eastAsia="仿宋" w:hAnsi="仿宋" w:hint="eastAsia"/>
          <w:sz w:val="32"/>
          <w:szCs w:val="32"/>
        </w:rPr>
      </w:pPr>
    </w:p>
    <w:p w14:paraId="1258ABC8" w14:textId="77777777" w:rsidR="001D734A" w:rsidRPr="0051316D" w:rsidRDefault="00000000" w:rsidP="0051316D">
      <w:pPr>
        <w:spacing w:line="560" w:lineRule="exact"/>
        <w:ind w:firstLineChars="200" w:firstLine="640"/>
        <w:jc w:val="both"/>
        <w:rPr>
          <w:rFonts w:ascii="仿宋" w:eastAsia="仿宋" w:hAnsi="仿宋" w:hint="eastAsia"/>
          <w:sz w:val="32"/>
          <w:szCs w:val="32"/>
        </w:rPr>
      </w:pPr>
      <w:r w:rsidRPr="0051316D">
        <w:rPr>
          <w:rFonts w:ascii="仿宋" w:eastAsia="仿宋" w:hAnsi="仿宋" w:hint="eastAsia"/>
          <w:sz w:val="32"/>
          <w:szCs w:val="32"/>
        </w:rPr>
        <w:t xml:space="preserve">                      化学与生命资源学院党委</w:t>
      </w:r>
    </w:p>
    <w:p w14:paraId="41A72CA5" w14:textId="4F48FF4E" w:rsidR="001D734A" w:rsidRPr="0051316D" w:rsidRDefault="00000000" w:rsidP="0051316D">
      <w:pPr>
        <w:spacing w:line="560" w:lineRule="exact"/>
        <w:ind w:firstLineChars="200" w:firstLine="640"/>
        <w:jc w:val="both"/>
      </w:pPr>
      <w:r w:rsidRPr="0051316D">
        <w:rPr>
          <w:rFonts w:ascii="仿宋" w:eastAsia="仿宋" w:hAnsi="仿宋"/>
          <w:sz w:val="32"/>
          <w:szCs w:val="32"/>
        </w:rPr>
        <w:t xml:space="preserve">                         </w:t>
      </w:r>
      <w:r w:rsidRPr="0051316D">
        <w:rPr>
          <w:rFonts w:ascii="仿宋" w:eastAsia="仿宋" w:hAnsi="仿宋" w:hint="eastAsia"/>
          <w:sz w:val="32"/>
          <w:szCs w:val="32"/>
        </w:rPr>
        <w:t>2025年9月2</w:t>
      </w:r>
      <w:r w:rsidRPr="0051316D">
        <w:rPr>
          <w:rFonts w:ascii="仿宋" w:eastAsia="仿宋" w:hAnsi="仿宋"/>
          <w:sz w:val="32"/>
          <w:szCs w:val="32"/>
        </w:rPr>
        <w:t>3</w:t>
      </w:r>
      <w:r w:rsidRPr="0051316D">
        <w:rPr>
          <w:rFonts w:ascii="仿宋" w:eastAsia="仿宋" w:hAnsi="仿宋" w:hint="eastAsia"/>
          <w:sz w:val="32"/>
          <w:szCs w:val="32"/>
        </w:rPr>
        <w:t>日</w:t>
      </w:r>
    </w:p>
    <w:sectPr w:rsidR="001D734A" w:rsidRPr="00513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618E" w14:textId="77777777" w:rsidR="004A33CC" w:rsidRDefault="004A33CC" w:rsidP="00582FF3">
      <w:r>
        <w:separator/>
      </w:r>
    </w:p>
  </w:endnote>
  <w:endnote w:type="continuationSeparator" w:id="0">
    <w:p w14:paraId="6B5558DB" w14:textId="77777777" w:rsidR="004A33CC" w:rsidRDefault="004A33CC" w:rsidP="0058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03443220-428A-4976-825F-2D74A79263A3}"/>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E2421ADA-D1C7-4DB9-9C64-D96F3A1730D2}"/>
    <w:embedBold r:id="rId3" w:subsetted="1" w:fontKey="{C1C03660-81F0-433F-AFC3-6DDE628C1C29}"/>
  </w:font>
  <w:font w:name="黑体">
    <w:altName w:val="SimHei"/>
    <w:panose1 w:val="02010609060101010101"/>
    <w:charset w:val="86"/>
    <w:family w:val="modern"/>
    <w:pitch w:val="fixed"/>
    <w:sig w:usb0="800002BF" w:usb1="38CF7CFA" w:usb2="00000016" w:usb3="00000000" w:csb0="00040001" w:csb1="00000000"/>
    <w:embedRegular r:id="rId4" w:subsetted="1" w:fontKey="{EE510EFC-8FCA-4102-A66D-1363FAAA7648}"/>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2177" w14:textId="77777777" w:rsidR="004A33CC" w:rsidRDefault="004A33CC" w:rsidP="00582FF3">
      <w:r>
        <w:separator/>
      </w:r>
    </w:p>
  </w:footnote>
  <w:footnote w:type="continuationSeparator" w:id="0">
    <w:p w14:paraId="4CA97144" w14:textId="77777777" w:rsidR="004A33CC" w:rsidRDefault="004A33CC" w:rsidP="00582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B405C"/>
    <w:multiLevelType w:val="singleLevel"/>
    <w:tmpl w:val="483B405C"/>
    <w:lvl w:ilvl="0">
      <w:start w:val="6"/>
      <w:numFmt w:val="decimal"/>
      <w:suff w:val="nothing"/>
      <w:lvlText w:val="（%1）"/>
      <w:lvlJc w:val="left"/>
    </w:lvl>
  </w:abstractNum>
  <w:abstractNum w:abstractNumId="1" w15:restartNumberingAfterBreak="0">
    <w:nsid w:val="735E6A79"/>
    <w:multiLevelType w:val="singleLevel"/>
    <w:tmpl w:val="735E6A79"/>
    <w:lvl w:ilvl="0">
      <w:start w:val="2"/>
      <w:numFmt w:val="chineseCounting"/>
      <w:suff w:val="nothing"/>
      <w:lvlText w:val="%1、"/>
      <w:lvlJc w:val="left"/>
      <w:rPr>
        <w:rFonts w:hint="eastAsia"/>
      </w:rPr>
    </w:lvl>
  </w:abstractNum>
  <w:num w:numId="1" w16cid:durableId="1502237755">
    <w:abstractNumId w:val="0"/>
  </w:num>
  <w:num w:numId="2" w16cid:durableId="206158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yOGI4MmRjZTA0OTFiNjhiNmZjYmMzMzQxYjAxMzcifQ=="/>
  </w:docVars>
  <w:rsids>
    <w:rsidRoot w:val="766772C5"/>
    <w:rsid w:val="000029EE"/>
    <w:rsid w:val="00094526"/>
    <w:rsid w:val="00106358"/>
    <w:rsid w:val="001923E5"/>
    <w:rsid w:val="001D734A"/>
    <w:rsid w:val="002140F0"/>
    <w:rsid w:val="00217CFD"/>
    <w:rsid w:val="00267E7E"/>
    <w:rsid w:val="003A6320"/>
    <w:rsid w:val="004323AA"/>
    <w:rsid w:val="004803EA"/>
    <w:rsid w:val="004A12DA"/>
    <w:rsid w:val="004A33CC"/>
    <w:rsid w:val="004A403A"/>
    <w:rsid w:val="0051316D"/>
    <w:rsid w:val="00582FF3"/>
    <w:rsid w:val="005C2CF2"/>
    <w:rsid w:val="005C64B5"/>
    <w:rsid w:val="00663F10"/>
    <w:rsid w:val="00772092"/>
    <w:rsid w:val="00813E3C"/>
    <w:rsid w:val="00841AFC"/>
    <w:rsid w:val="00881999"/>
    <w:rsid w:val="0089596D"/>
    <w:rsid w:val="00947BEB"/>
    <w:rsid w:val="009A5066"/>
    <w:rsid w:val="009C097E"/>
    <w:rsid w:val="00A47D8C"/>
    <w:rsid w:val="00A54213"/>
    <w:rsid w:val="00AE780B"/>
    <w:rsid w:val="00B47746"/>
    <w:rsid w:val="00B66EE8"/>
    <w:rsid w:val="00C45BE6"/>
    <w:rsid w:val="00DE695C"/>
    <w:rsid w:val="00E01212"/>
    <w:rsid w:val="00E86322"/>
    <w:rsid w:val="00F07844"/>
    <w:rsid w:val="03BB057C"/>
    <w:rsid w:val="03E216BE"/>
    <w:rsid w:val="09C032D4"/>
    <w:rsid w:val="0FA73897"/>
    <w:rsid w:val="18DB59B3"/>
    <w:rsid w:val="1D597298"/>
    <w:rsid w:val="1D915646"/>
    <w:rsid w:val="211E3F47"/>
    <w:rsid w:val="285A17C2"/>
    <w:rsid w:val="416E2B86"/>
    <w:rsid w:val="42FA5706"/>
    <w:rsid w:val="46853860"/>
    <w:rsid w:val="49F96C21"/>
    <w:rsid w:val="514353E2"/>
    <w:rsid w:val="5604091D"/>
    <w:rsid w:val="5A855B0A"/>
    <w:rsid w:val="6A3C1174"/>
    <w:rsid w:val="6B105EB6"/>
    <w:rsid w:val="766772C5"/>
    <w:rsid w:val="77327876"/>
    <w:rsid w:val="7C427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92A3D"/>
  <w15:docId w15:val="{2BE59416-EEEC-4EC0-8750-4375E971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hAnsi="Arial" w:cs="Arial"/>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rPr>
      <w:rFonts w:ascii="Arial" w:hAnsi="Arial" w:cs="Arial"/>
      <w:color w:val="000000"/>
      <w:sz w:val="18"/>
      <w:szCs w:val="18"/>
    </w:rPr>
  </w:style>
  <w:style w:type="character" w:customStyle="1" w:styleId="a4">
    <w:name w:val="页脚 字符"/>
    <w:basedOn w:val="a0"/>
    <w:link w:val="a3"/>
    <w:qFormat/>
    <w:rPr>
      <w:rFonts w:ascii="Arial" w:hAnsi="Arial" w:cs="Arial"/>
      <w:color w:val="000000"/>
      <w:sz w:val="18"/>
      <w:szCs w:val="18"/>
    </w:rPr>
  </w:style>
  <w:style w:type="paragraph" w:customStyle="1" w:styleId="1">
    <w:name w:val="修订1"/>
    <w:hidden/>
    <w:uiPriority w:val="99"/>
    <w:unhideWhenUsed/>
    <w:rPr>
      <w:rFonts w:ascii="Arial" w:hAnsi="Arial" w:cs="Arial"/>
      <w:color w:val="000000"/>
      <w:sz w:val="21"/>
      <w:szCs w:val="21"/>
    </w:rPr>
  </w:style>
  <w:style w:type="paragraph" w:styleId="a7">
    <w:name w:val="Revision"/>
    <w:hidden/>
    <w:uiPriority w:val="99"/>
    <w:unhideWhenUsed/>
    <w:rsid w:val="00582FF3"/>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E0CD-A60B-4E51-AF7E-6E4650F1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713</Words>
  <Characters>722</Characters>
  <Application>Microsoft Office Word</Application>
  <DocSecurity>0</DocSecurity>
  <Lines>40</Lines>
  <Paragraphs>29</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zkr</dc:creator>
  <cp:lastModifiedBy>佳豪 黄</cp:lastModifiedBy>
  <cp:revision>21</cp:revision>
  <dcterms:created xsi:type="dcterms:W3CDTF">2025-07-28T01:19:00Z</dcterms:created>
  <dcterms:modified xsi:type="dcterms:W3CDTF">2025-09-23T12:12:00Z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A150B68B39F74BB0A8F554FB95929CD7</vt:lpwstr>
  </property>
  <property fmtid="{D5CDD505-2E9C-101B-9397-08002B2CF9AE}" pid="4" name="KSOTemplateDocerSaveRecord">
    <vt:lpwstr>eyJoZGlkIjoiMzEwNTM5NzYwMDRjMzkwZTVkZjY2ODkwMGIxNGU0OTUiLCJ1c2VySWQiOiIzNDQ0NTAzNTMifQ==</vt:lpwstr>
  </property>
</Properties>
</file>